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1AD" w:rsidRDefault="00E4646B">
      <w:pPr>
        <w:spacing w:after="240" w:line="240" w:lineRule="auto"/>
        <w:jc w:val="right"/>
      </w:pPr>
      <w:r>
        <w:rPr>
          <w:rFonts w:ascii="Corbel" w:eastAsia="Corbel" w:hAnsi="Corbel" w:cs="Corbel"/>
          <w:b/>
        </w:rPr>
        <w:t xml:space="preserve">   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D231AD" w:rsidRDefault="00E4646B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D231AD" w:rsidRDefault="00E4646B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E01245" w:rsidRPr="00E01245">
        <w:rPr>
          <w:rFonts w:ascii="Corbel" w:eastAsia="Corbel" w:hAnsi="Corbel" w:cs="Corbel"/>
          <w:b/>
          <w:sz w:val="19"/>
        </w:rPr>
        <w:t>2022-2025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="001A763F">
        <w:rPr>
          <w:rFonts w:ascii="Corbel" w:eastAsia="Corbel" w:hAnsi="Corbel" w:cs="Corbel"/>
          <w:i/>
          <w:sz w:val="24"/>
        </w:rPr>
        <w:t xml:space="preserve">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E01245" w:rsidRDefault="00E4646B" w:rsidP="00E01245">
      <w:pPr>
        <w:spacing w:after="32" w:line="240" w:lineRule="auto"/>
        <w:ind w:left="-5" w:right="-15" w:hanging="10"/>
        <w:rPr>
          <w:rFonts w:ascii="Corbel" w:eastAsia="Corbel" w:hAnsi="Corbel" w:cs="Corbel"/>
          <w:b/>
          <w:sz w:val="20"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E01245">
        <w:rPr>
          <w:rFonts w:ascii="Corbel" w:eastAsia="Corbel" w:hAnsi="Corbel" w:cs="Corbel"/>
          <w:sz w:val="20"/>
        </w:rPr>
        <w:tab/>
      </w:r>
      <w:r w:rsidR="00AC6E19">
        <w:rPr>
          <w:rFonts w:ascii="Corbel" w:eastAsia="Corbel" w:hAnsi="Corbel" w:cs="Corbel"/>
          <w:b/>
          <w:sz w:val="20"/>
        </w:rPr>
        <w:t xml:space="preserve">Rok akademicki  </w:t>
      </w:r>
      <w:r w:rsidR="00E01245" w:rsidRPr="00E01245">
        <w:rPr>
          <w:rFonts w:ascii="Corbel" w:eastAsia="Corbel" w:hAnsi="Corbel" w:cs="Corbel"/>
          <w:b/>
          <w:sz w:val="20"/>
        </w:rPr>
        <w:t>2024/2025</w:t>
      </w:r>
    </w:p>
    <w:p w:rsidR="00D231AD" w:rsidRDefault="00E4646B" w:rsidP="00E01245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ind w:left="2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Polityka gospodarcza 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MK_17 </w:t>
            </w:r>
          </w:p>
        </w:tc>
      </w:tr>
      <w:tr w:rsidR="00D231AD">
        <w:trPr>
          <w:trHeight w:val="4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Kolegium Nauk Społecznych </w:t>
            </w:r>
          </w:p>
        </w:tc>
      </w:tr>
      <w:tr w:rsidR="00D231AD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01245">
            <w:pPr>
              <w:ind w:left="2"/>
            </w:pPr>
            <w:r w:rsidRPr="00E01245">
              <w:t>Instytut Nauk o Polityce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Politologia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ind w:left="2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Studia I stopnia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Ogólnoakademicki  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Stacjonarne 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ind w:left="2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Rok III, semestr VI 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Kierunkowy 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Polski 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Prof. dr hab. Paweł Grata </w:t>
            </w:r>
          </w:p>
        </w:tc>
      </w:tr>
      <w:tr w:rsidR="00D231AD">
        <w:trPr>
          <w:trHeight w:val="8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spacing w:after="74" w:line="240" w:lineRule="auto"/>
              <w:ind w:left="2"/>
            </w:pPr>
            <w:r>
              <w:rPr>
                <w:rFonts w:ascii="Corbel" w:eastAsia="Corbel" w:hAnsi="Corbel" w:cs="Corbel"/>
              </w:rPr>
              <w:t xml:space="preserve">Prof. dr hab. Paweł Grata – wykład </w:t>
            </w:r>
          </w:p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Dr Mira </w:t>
            </w:r>
            <w:proofErr w:type="spellStart"/>
            <w:r>
              <w:rPr>
                <w:rFonts w:ascii="Corbel" w:eastAsia="Corbel" w:hAnsi="Corbel" w:cs="Corbel"/>
              </w:rPr>
              <w:t>Malczyńska</w:t>
            </w:r>
            <w:proofErr w:type="spellEnd"/>
            <w:r>
              <w:rPr>
                <w:rFonts w:ascii="Corbel" w:eastAsia="Corbel" w:hAnsi="Corbel" w:cs="Corbel"/>
              </w:rPr>
              <w:t xml:space="preserve">-Biały – ćwiczenia </w:t>
            </w:r>
          </w:p>
        </w:tc>
      </w:tr>
    </w:tbl>
    <w:p w:rsidR="00D231AD" w:rsidRDefault="00E4646B">
      <w:pPr>
        <w:spacing w:after="319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1"/>
        <w:ind w:left="294"/>
      </w:pPr>
      <w:r>
        <w:t xml:space="preserve">1.1.Formy zajęć dydaktycznych, wymiar godzin i punktów ECTS  </w:t>
      </w:r>
    </w:p>
    <w:p w:rsidR="00D231AD" w:rsidRDefault="00E4646B">
      <w:pPr>
        <w:spacing w:after="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D231AD" w:rsidTr="00AC6E19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spacing w:after="158"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D231AD" w:rsidTr="00AC6E19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Pr="00AC6E19" w:rsidRDefault="00E4646B" w:rsidP="00AC6E19">
            <w:pPr>
              <w:jc w:val="center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  <w:ind w:left="294"/>
      </w:pPr>
      <w:r>
        <w:t xml:space="preserve">1.2. Sposób realizacji zajęć  </w:t>
      </w:r>
      <w:r>
        <w:rPr>
          <w:b w:val="0"/>
        </w:rPr>
        <w:t xml:space="preserve"> </w:t>
      </w:r>
    </w:p>
    <w:p w:rsidR="00D231AD" w:rsidRDefault="00E4646B" w:rsidP="00AC6E19">
      <w:pPr>
        <w:spacing w:after="38" w:line="240" w:lineRule="auto"/>
        <w:ind w:right="-15"/>
      </w:pPr>
      <w:r>
        <w:rPr>
          <w:rFonts w:ascii="Wingdings" w:eastAsia="Wingdings" w:hAnsi="Wingdings" w:cs="Wingdings"/>
          <w:sz w:val="24"/>
        </w:rPr>
        <w:t></w:t>
      </w:r>
      <w:r>
        <w:rPr>
          <w:rFonts w:ascii="Corbel" w:eastAsia="Corbel" w:hAnsi="Corbel" w:cs="Corbel"/>
          <w:sz w:val="24"/>
        </w:rPr>
        <w:t xml:space="preserve"> zajęcia w formie tradycyjnej  </w:t>
      </w:r>
    </w:p>
    <w:p w:rsidR="00D231AD" w:rsidRDefault="00E4646B" w:rsidP="00AC6E19">
      <w:pPr>
        <w:spacing w:after="38" w:line="240" w:lineRule="auto"/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33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 xml:space="preserve">(egzamin, zaliczenie z oceną, zaliczenie bez oceny) </w:t>
      </w:r>
    </w:p>
    <w:p w:rsidR="00D231AD" w:rsidRDefault="00E4646B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 xml:space="preserve">Wykład – egzamin ustny </w:t>
      </w:r>
    </w:p>
    <w:p w:rsidR="00D231AD" w:rsidRDefault="00AC6E19" w:rsidP="00AC6E19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>Ćwiczenia – zaliczenie z oceną</w:t>
      </w:r>
    </w:p>
    <w:p w:rsidR="001A5170" w:rsidRDefault="001A5170">
      <w:pPr>
        <w:spacing w:after="9" w:line="240" w:lineRule="auto"/>
        <w:ind w:left="-5" w:right="-15" w:hanging="10"/>
        <w:rPr>
          <w:rFonts w:ascii="Corbel" w:eastAsia="Corbel" w:hAnsi="Corbel" w:cs="Corbel"/>
          <w:b/>
          <w:sz w:val="24"/>
        </w:rPr>
      </w:pPr>
    </w:p>
    <w:p w:rsidR="00D231AD" w:rsidRDefault="00E4646B">
      <w:pPr>
        <w:spacing w:after="9" w:line="240" w:lineRule="auto"/>
        <w:ind w:left="-5" w:right="-15" w:hanging="10"/>
        <w:rPr>
          <w:rFonts w:ascii="Corbel" w:eastAsia="Corbel" w:hAnsi="Corbel" w:cs="Corbel"/>
          <w:b/>
          <w:sz w:val="24"/>
        </w:rPr>
      </w:pPr>
      <w:bookmarkStart w:id="0" w:name="_GoBack"/>
      <w:bookmarkEnd w:id="0"/>
      <w:r>
        <w:rPr>
          <w:rFonts w:ascii="Corbel" w:eastAsia="Corbel" w:hAnsi="Corbel" w:cs="Corbel"/>
          <w:b/>
          <w:sz w:val="24"/>
        </w:rPr>
        <w:lastRenderedPageBreak/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C6E19" w:rsidRDefault="00AC6E19">
      <w:pPr>
        <w:spacing w:after="9" w:line="240" w:lineRule="auto"/>
        <w:ind w:left="-5" w:right="-15" w:hanging="10"/>
      </w:pPr>
    </w:p>
    <w:p w:rsidR="00D231AD" w:rsidRDefault="00E4646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33" w:lineRule="auto"/>
        <w:ind w:left="219" w:right="-15" w:hanging="10"/>
        <w:jc w:val="both"/>
      </w:pPr>
      <w:r>
        <w:rPr>
          <w:rFonts w:ascii="Corbel" w:eastAsia="Corbel" w:hAnsi="Corbel" w:cs="Corbel"/>
        </w:rPr>
        <w:t>Podstawowa wiedza z zakresu ekonomii i problemów gospodarczych współczesnego świata, umiejętność rozumienia interakcji zachodzących między polityką państwa a poszczególnymi dziedzinami życia gospodarczego i społecznego.</w:t>
      </w: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3.1 Cele przedmiotu </w:t>
      </w:r>
    </w:p>
    <w:p w:rsidR="00D231AD" w:rsidRDefault="00E4646B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88" w:type="dxa"/>
          <w:left w:w="110" w:type="dxa"/>
          <w:right w:w="68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D231AD">
        <w:trPr>
          <w:trHeight w:val="36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Poznanie podstawowych dziedzin, uwarunkowań i problemów polityki gospodarczej. </w:t>
            </w:r>
          </w:p>
        </w:tc>
      </w:tr>
      <w:tr w:rsidR="00D231AD">
        <w:trPr>
          <w:trHeight w:val="35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Rozumienie wpływu zjawisk gospodarczych na życie społeczne i polityczne. </w:t>
            </w:r>
          </w:p>
        </w:tc>
      </w:tr>
      <w:tr w:rsidR="00D231AD">
        <w:trPr>
          <w:trHeight w:val="62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Analiza źródeł problemów ekonomicznych, umiejętność ich rozpoznawania oraz miejsca w programach politycznych. </w:t>
            </w:r>
          </w:p>
        </w:tc>
      </w:tr>
      <w:tr w:rsidR="00D231AD">
        <w:trPr>
          <w:trHeight w:val="629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C4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Rozumienie wpływu oddziaływania bezpośredniego i pośredniego na zachodzące procesy gospodarcze.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D231AD" w:rsidRDefault="00E4646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D231AD" w:rsidTr="00AC6E19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D231AD">
        <w:trPr>
          <w:trHeight w:val="5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Charakteryzuje historyczne, ekonomiczne i społeczne uwarunkowania życia politycznego, wynikające z zachodzących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862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procesów ekonomicznych oraz prowadzonej przez podmioty publiczne polityki gospodarczej.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D231AD">
        <w:trPr>
          <w:trHeight w:val="55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Opisuje struktury ekonomiczne w wymiarze lokalnym, regionalnym, państwowym i międzynarodowym w oparciu 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533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znajomość układów strukturalnych w gospodarce, ich ewolucji oraz miejsca w polityce gospodarczej.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K_W04 </w:t>
            </w:r>
          </w:p>
        </w:tc>
      </w:tr>
      <w:tr w:rsidR="00D231AD">
        <w:trPr>
          <w:trHeight w:val="296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Posiada wiedzę na temat rynku, koncepcji polityki gospodarczej,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789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4"/>
              <w:jc w:val="both"/>
            </w:pPr>
            <w:r>
              <w:rPr>
                <w:rFonts w:ascii="Corbel" w:eastAsia="Corbel" w:hAnsi="Corbel" w:cs="Corbel"/>
              </w:rPr>
              <w:t xml:space="preserve">finansów publicznych, rynku kapitałowego oraz stosowanych form oddziaływania władzy publicznej na gospodarkę narodową.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K_W19 </w:t>
            </w:r>
          </w:p>
        </w:tc>
      </w:tr>
      <w:tr w:rsidR="00D231AD">
        <w:trPr>
          <w:trHeight w:val="296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Wyjaśnia rolę struktur ekonomicznych we współczesnym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789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3"/>
              <w:jc w:val="both"/>
            </w:pPr>
            <w:r>
              <w:rPr>
                <w:rFonts w:ascii="Corbel" w:eastAsia="Corbel" w:hAnsi="Corbel" w:cs="Corbel"/>
              </w:rPr>
              <w:t xml:space="preserve">świecie, ich wpływ na życie gospodarcze, społeczne i polityczne, znaczenie poszczególnych struktur dla funkcjonowania gospodarki, społeczeństwa i jednostki.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K_U05 </w:t>
            </w:r>
          </w:p>
        </w:tc>
      </w:tr>
    </w:tbl>
    <w:p w:rsidR="00AC6E19" w:rsidRDefault="00AC6E19"/>
    <w:p w:rsidR="00AC6E19" w:rsidRDefault="00AC6E19">
      <w:r>
        <w:br w:type="column"/>
      </w:r>
    </w:p>
    <w:tbl>
      <w:tblPr>
        <w:tblStyle w:val="TableGrid"/>
        <w:tblW w:w="9522" w:type="dxa"/>
        <w:tblInd w:w="113" w:type="dxa"/>
        <w:tblCellMar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D231AD" w:rsidTr="00AC6E19">
        <w:trPr>
          <w:trHeight w:val="296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Rozumie potrzebę rozwoju zawodowego i uczenia się przez całe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 w:rsidTr="00AC6E19">
        <w:trPr>
          <w:trHeight w:val="789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4"/>
              <w:jc w:val="both"/>
            </w:pPr>
            <w:r>
              <w:rPr>
                <w:rFonts w:ascii="Corbel" w:eastAsia="Corbel" w:hAnsi="Corbel" w:cs="Corbel"/>
              </w:rPr>
              <w:t xml:space="preserve">życie, niezbędnego w kontekście poznanych praw rządzących ekonomią i prowadzonej przez państwo wciąż ewoluującej polityki gospodarczej.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K_K01 </w:t>
            </w:r>
          </w:p>
        </w:tc>
      </w:tr>
      <w:tr w:rsidR="00D231AD" w:rsidTr="00AC6E19">
        <w:trPr>
          <w:trHeight w:val="56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Jest przygotowany do aktywnego uczestnictwa w życiu publicznym dzięki znajomości przyczyn, form i skutków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 w:rsidTr="00AC6E19">
        <w:trPr>
          <w:trHeight w:val="78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4"/>
              <w:jc w:val="both"/>
            </w:pPr>
            <w:r>
              <w:rPr>
                <w:rFonts w:ascii="Corbel" w:eastAsia="Corbel" w:hAnsi="Corbel" w:cs="Corbel"/>
              </w:rPr>
              <w:t xml:space="preserve">oddziaływania władzy publicznej na procesy gospodarcze i rozumieniu znaczenia tych procesów dla funkcjonowania społeczeństwa.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K_K02 </w:t>
            </w:r>
          </w:p>
        </w:tc>
      </w:tr>
    </w:tbl>
    <w:p w:rsidR="00D231AD" w:rsidRDefault="00E4646B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D231AD" w:rsidRDefault="00E4646B">
      <w:pPr>
        <w:numPr>
          <w:ilvl w:val="0"/>
          <w:numId w:val="1"/>
        </w:numPr>
        <w:spacing w:after="38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D231AD" w:rsidRDefault="00E4646B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8250" w:type="dxa"/>
        <w:tblInd w:w="137" w:type="dxa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8250"/>
      </w:tblGrid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Nauka polityki gospodarczej – pojęcie i zakres zainteresowań.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Pierwsze systemy i doktryny polityki ekonomicznej – merkantylizm, fizjokratyzm, liberalizm i klasyczna szkoła ekonomii.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Geneza i rozwój interwencjonizmu państwowego.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Podstawowe tendencje w polityce gospodarczej krajów Zachodu w II połowie XX i na początku XXI wieku – keynesizm, neoliberalizm, monetaryzm.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Uwarunkowania, cele, dziedziny polityki gospodarczej.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Funkcje polityki gospodarczej w różnych systemach ekonomicznych.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Gospodarka narodowa jako przedmiot oddziaływań polityki gospodarczej.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Makroekonomiczne mechanizmy oddziaływań polityki gospodarczej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numPr>
          <w:ilvl w:val="0"/>
          <w:numId w:val="1"/>
        </w:numPr>
        <w:spacing w:after="38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D231AD" w:rsidRDefault="00E4646B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8250" w:type="dxa"/>
        <w:tblInd w:w="137" w:type="dxa"/>
        <w:tblCellMar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8250"/>
      </w:tblGrid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Współczesne podmioty polityki gospodarczej.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Miejsce polityki pieniężnej w polityce gospodarczej państwa.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Polityka regionalna i jej zadania.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Polityka ekonomiczna okresu transformacji gospodarczej w Polsce.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Podstawowe problemy współczesnej polityki gospodarczej w Polsce.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Uwarunkowania, cele i podstawowe dziedziny polityki gospodarczej Unii Europejskiej (polityka budżetowa, polityka handlowa, polityka rolna, polityka spójności, Unia Gospodarcza i Walutowa). 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Procesy globalizacyjne i ich wpływ na współczesną politykę gospodarczą.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Kolokwium zaliczeniowe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D231AD" w:rsidRDefault="00E4646B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lastRenderedPageBreak/>
        <w:t xml:space="preserve">Laboratorium: wykonywanie doświadczeń, projektowanie doświadczeń  </w:t>
      </w:r>
    </w:p>
    <w:p w:rsidR="00D231AD" w:rsidRDefault="00E4646B">
      <w:pPr>
        <w:spacing w:after="33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 xml:space="preserve">Wykład: wykład z prezentacją multimedialną.  </w:t>
      </w:r>
    </w:p>
    <w:p w:rsidR="00D231AD" w:rsidRDefault="00E4646B" w:rsidP="00AC6E19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>Ćwiczenia: analiza i interpretacja tekstów źródłowych, praca w grupach, analiza przypadków,</w:t>
      </w:r>
      <w:r w:rsidR="00AC6E19">
        <w:rPr>
          <w:rFonts w:ascii="Corbel" w:eastAsia="Corbel" w:hAnsi="Corbel" w:cs="Corbel"/>
        </w:rPr>
        <w:t xml:space="preserve"> dyskusja, rozwiązywanie zadań.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1"/>
        <w:ind w:left="10"/>
      </w:pPr>
      <w:r>
        <w:t xml:space="preserve">4. METODY I KRYTERIA OCENY 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4.1 Sposoby weryfikacji efektów uczenia się </w:t>
      </w:r>
    </w:p>
    <w:p w:rsidR="00D231AD" w:rsidRDefault="00E4646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095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37"/>
        <w:gridCol w:w="4952"/>
        <w:gridCol w:w="2206"/>
      </w:tblGrid>
      <w:tr w:rsidR="00D231AD" w:rsidTr="00AC6E19">
        <w:trPr>
          <w:trHeight w:val="816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 w:rsidP="00AC6E19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>Symbol efektu</w:t>
            </w:r>
          </w:p>
          <w:p w:rsidR="00D231AD" w:rsidRDefault="00D231AD" w:rsidP="00AC6E19">
            <w:pPr>
              <w:jc w:val="center"/>
            </w:pP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 w:rsidP="00AC6E19">
            <w:pPr>
              <w:spacing w:after="33" w:line="240" w:lineRule="auto"/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Metody oceny efektów </w:t>
            </w:r>
            <w:r w:rsidR="00917075">
              <w:rPr>
                <w:rFonts w:ascii="Corbel" w:eastAsia="Corbel" w:hAnsi="Corbel" w:cs="Corbel"/>
              </w:rPr>
              <w:t>uczenia się</w:t>
            </w:r>
          </w:p>
          <w:p w:rsidR="00D231AD" w:rsidRDefault="00E4646B" w:rsidP="00AC6E19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>( np.: kolokwium, egzamin ustny, egzamin pisemny, projekt, sprawozdanie, obserwacja w trakcie zajęć)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E19" w:rsidRDefault="00AC6E19" w:rsidP="00AC6E19">
            <w:pPr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Forma zajęć dydaktycznych </w:t>
            </w:r>
          </w:p>
          <w:p w:rsidR="00D231AD" w:rsidRDefault="00AC6E19" w:rsidP="00AC6E19">
            <w:pPr>
              <w:jc w:val="center"/>
            </w:pPr>
            <w:r>
              <w:rPr>
                <w:rFonts w:ascii="Corbel" w:eastAsia="Corbel" w:hAnsi="Corbel" w:cs="Corbel"/>
              </w:rPr>
              <w:t>(</w:t>
            </w:r>
            <w:r w:rsidR="00E4646B">
              <w:rPr>
                <w:rFonts w:ascii="Corbel" w:eastAsia="Corbel" w:hAnsi="Corbel" w:cs="Corbel"/>
              </w:rPr>
              <w:t xml:space="preserve">w, </w:t>
            </w:r>
            <w:proofErr w:type="spellStart"/>
            <w:r w:rsidR="00E4646B">
              <w:rPr>
                <w:rFonts w:ascii="Corbel" w:eastAsia="Corbel" w:hAnsi="Corbel" w:cs="Corbel"/>
              </w:rPr>
              <w:t>ćw</w:t>
            </w:r>
            <w:proofErr w:type="spellEnd"/>
            <w:r w:rsidR="00E4646B">
              <w:rPr>
                <w:rFonts w:ascii="Corbel" w:eastAsia="Corbel" w:hAnsi="Corbel" w:cs="Corbel"/>
              </w:rPr>
              <w:t>, …)</w:t>
            </w:r>
          </w:p>
        </w:tc>
      </w:tr>
      <w:tr w:rsidR="00D231AD" w:rsidTr="00AC6E19">
        <w:trPr>
          <w:trHeight w:val="27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D231AD" w:rsidTr="00AC6E19">
        <w:trPr>
          <w:trHeight w:val="27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D231AD" w:rsidTr="00AC6E19">
        <w:trPr>
          <w:trHeight w:val="281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03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D231AD" w:rsidTr="00AC6E19">
        <w:trPr>
          <w:trHeight w:val="27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04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  <w:tr w:rsidR="00D231AD" w:rsidTr="00AC6E19">
        <w:trPr>
          <w:trHeight w:val="54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05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Ocena indywidualnej pracy studenta w czasie zajęć,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  <w:tr w:rsidR="00D231AD" w:rsidTr="00AC6E19">
        <w:trPr>
          <w:trHeight w:val="547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06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Ocena indywidualnej pracy studenta w czasie zajęć,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4.2 Warunki zaliczenia przedmiotu (kryteria oceniania)  </w:t>
      </w:r>
    </w:p>
    <w:p w:rsidR="00D231AD" w:rsidRDefault="00E4646B">
      <w:pPr>
        <w:spacing w:after="43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 w:rsidP="00AC6E1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33" w:lineRule="auto"/>
        <w:ind w:right="-15"/>
        <w:jc w:val="both"/>
      </w:pPr>
      <w:r>
        <w:rPr>
          <w:rFonts w:ascii="Corbel" w:eastAsia="Corbel" w:hAnsi="Corbel" w:cs="Corbel"/>
        </w:rPr>
        <w:t>Udział w ćwiczeniach i wykładach, aktywna praca w trakcie ćwiczeń, zaliczenie kolokwium, pozytywna ocena końcowa z ćwiczeń, pozytywna ocena z egzaminu ustnego.</w:t>
      </w: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D231AD" w:rsidRDefault="00E4646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D231AD" w:rsidTr="00AC6E19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D231AD" w:rsidTr="00AC6E19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1314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jc w:val="center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50 </w:t>
            </w:r>
          </w:p>
        </w:tc>
      </w:tr>
      <w:tr w:rsidR="00D231AD" w:rsidTr="00AC6E19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25 </w:t>
            </w:r>
          </w:p>
        </w:tc>
      </w:tr>
      <w:tr w:rsidR="00D231AD" w:rsidTr="00AC6E19">
        <w:trPr>
          <w:trHeight w:val="89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50 </w:t>
            </w:r>
          </w:p>
        </w:tc>
      </w:tr>
      <w:tr w:rsidR="00D231AD" w:rsidTr="00AC6E19">
        <w:trPr>
          <w:trHeight w:val="3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125 </w:t>
            </w:r>
          </w:p>
        </w:tc>
      </w:tr>
      <w:tr w:rsidR="00D231AD" w:rsidTr="00AC6E19">
        <w:trPr>
          <w:trHeight w:val="3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jc w:val="center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5 </w:t>
            </w:r>
          </w:p>
        </w:tc>
      </w:tr>
    </w:tbl>
    <w:p w:rsidR="00D231AD" w:rsidRDefault="00E4646B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1"/>
        <w:ind w:left="10"/>
      </w:pPr>
      <w:r>
        <w:lastRenderedPageBreak/>
        <w:t xml:space="preserve">6. PRAKTYKI ZAWODOWE W RAMACH PRZEDMIOTU </w:t>
      </w:r>
    </w:p>
    <w:p w:rsidR="00D231AD" w:rsidRDefault="00E4646B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D231AD" w:rsidTr="00AC6E19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D231AD" w:rsidTr="00AC6E19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D231AD" w:rsidRDefault="00E4646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1"/>
        <w:ind w:left="10"/>
      </w:pPr>
      <w:r>
        <w:t xml:space="preserve">7. LITERATURA  </w:t>
      </w:r>
    </w:p>
    <w:p w:rsidR="00D231AD" w:rsidRDefault="00E4646B">
      <w:pPr>
        <w:spacing w:after="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D231AD" w:rsidTr="00AC6E19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694B96" w:rsidRDefault="00E4646B">
            <w:pPr>
              <w:spacing w:after="33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694B96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AC6E19" w:rsidRDefault="00AC6E19">
            <w:pPr>
              <w:spacing w:after="33" w:line="240" w:lineRule="auto"/>
            </w:pPr>
          </w:p>
          <w:p w:rsidR="00D231AD" w:rsidRDefault="00E4646B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gospodarcza, red. B. Winiarski, wyd. III, Warszawa 2019 </w:t>
            </w:r>
          </w:p>
          <w:p w:rsidR="00D231AD" w:rsidRDefault="00E4646B">
            <w:pPr>
              <w:spacing w:after="32" w:line="240" w:lineRule="auto"/>
            </w:pPr>
            <w:r>
              <w:rPr>
                <w:rFonts w:ascii="Corbel" w:eastAsia="Corbel" w:hAnsi="Corbel" w:cs="Corbel"/>
              </w:rPr>
              <w:t xml:space="preserve">Polityka gospodarcza – teoria i praktyka, red. B. </w:t>
            </w:r>
            <w:proofErr w:type="spellStart"/>
            <w:r>
              <w:rPr>
                <w:rFonts w:ascii="Corbel" w:eastAsia="Corbel" w:hAnsi="Corbel" w:cs="Corbel"/>
              </w:rPr>
              <w:t>Kryk</w:t>
            </w:r>
            <w:proofErr w:type="spellEnd"/>
            <w:r>
              <w:rPr>
                <w:rFonts w:ascii="Corbel" w:eastAsia="Corbel" w:hAnsi="Corbel" w:cs="Corbel"/>
              </w:rPr>
              <w:t xml:space="preserve">, Szczecin 2012 </w:t>
            </w:r>
          </w:p>
          <w:p w:rsidR="00D231AD" w:rsidRDefault="00E4646B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Polityka gospodarcza (zagadnienia wybrane), red. R. Kisiel, R. Marks-Bielska, Olsztyn 2013 </w:t>
            </w:r>
          </w:p>
          <w:p w:rsidR="00D231AD" w:rsidRDefault="00E4646B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Polityka gospodarcza. Podręcznik dla studentów kierunków nieekonomicznych, red. T. </w:t>
            </w:r>
            <w:proofErr w:type="spellStart"/>
            <w:r>
              <w:rPr>
                <w:rFonts w:ascii="Corbel" w:eastAsia="Corbel" w:hAnsi="Corbel" w:cs="Corbel"/>
              </w:rPr>
              <w:t>Włudyka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2007 </w:t>
            </w:r>
          </w:p>
          <w:p w:rsidR="00D231AD" w:rsidRDefault="00E4646B">
            <w:r>
              <w:rPr>
                <w:rFonts w:ascii="Corbel" w:eastAsia="Corbel" w:hAnsi="Corbel" w:cs="Corbel"/>
              </w:rPr>
              <w:t xml:space="preserve">Rosati D., Polityka gospodarcza. Wybrane zagadnienia, Warszawa 2017 </w:t>
            </w:r>
          </w:p>
        </w:tc>
      </w:tr>
      <w:tr w:rsidR="00D231AD" w:rsidTr="00AC6E19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694B96" w:rsidRDefault="00E4646B">
            <w:pPr>
              <w:spacing w:after="33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694B96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AC6E19" w:rsidRDefault="00AC6E19">
            <w:pPr>
              <w:spacing w:after="33" w:line="240" w:lineRule="auto"/>
            </w:pPr>
          </w:p>
          <w:p w:rsidR="00D231AD" w:rsidRDefault="00E4646B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Bałtowski M., Miszewski M., Transformacja gospodarcza w Polsce, Warszawa </w:t>
            </w:r>
          </w:p>
          <w:p w:rsidR="00AC6E19" w:rsidRDefault="00E4646B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2006 </w:t>
            </w:r>
          </w:p>
          <w:p w:rsidR="00AC6E19" w:rsidRDefault="00AC6E19" w:rsidP="00AC6E19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Barcz J., </w:t>
            </w:r>
            <w:proofErr w:type="spellStart"/>
            <w:r>
              <w:rPr>
                <w:rFonts w:ascii="Corbel" w:eastAsia="Corbel" w:hAnsi="Corbel" w:cs="Corbel"/>
              </w:rPr>
              <w:t>Kawecka-Wyrzykowska</w:t>
            </w:r>
            <w:proofErr w:type="spellEnd"/>
            <w:r>
              <w:rPr>
                <w:rFonts w:ascii="Corbel" w:eastAsia="Corbel" w:hAnsi="Corbel" w:cs="Corbel"/>
              </w:rPr>
              <w:t xml:space="preserve"> E., Michałowska-</w:t>
            </w:r>
            <w:proofErr w:type="spellStart"/>
            <w:r>
              <w:rPr>
                <w:rFonts w:ascii="Corbel" w:eastAsia="Corbel" w:hAnsi="Corbel" w:cs="Corbel"/>
              </w:rPr>
              <w:t>Gorywoda</w:t>
            </w:r>
            <w:proofErr w:type="spellEnd"/>
            <w:r>
              <w:rPr>
                <w:rFonts w:ascii="Corbel" w:eastAsia="Corbel" w:hAnsi="Corbel" w:cs="Corbel"/>
              </w:rPr>
              <w:t xml:space="preserve"> K., Integracja europejska, Warszawa 2007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Kaja J., Polityka gospodarcza. Wstęp do teorii, Warszawa 2007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>Leksykon polityki gospodarczej, pod red. U. Kaliny-</w:t>
            </w:r>
            <w:proofErr w:type="spellStart"/>
            <w:r>
              <w:rPr>
                <w:rFonts w:ascii="Corbel" w:eastAsia="Corbel" w:hAnsi="Corbel" w:cs="Corbel"/>
              </w:rPr>
              <w:t>Prasznic</w:t>
            </w:r>
            <w:proofErr w:type="spellEnd"/>
            <w:r>
              <w:rPr>
                <w:rFonts w:ascii="Corbel" w:eastAsia="Corbel" w:hAnsi="Corbel" w:cs="Corbel"/>
              </w:rPr>
              <w:t xml:space="preserve">, Kraków 2005 </w:t>
            </w:r>
          </w:p>
          <w:p w:rsidR="00AC6E19" w:rsidRDefault="00AC6E19" w:rsidP="00AC6E19">
            <w:pPr>
              <w:spacing w:after="33" w:line="248" w:lineRule="auto"/>
              <w:ind w:right="236"/>
            </w:pPr>
            <w:r>
              <w:rPr>
                <w:rFonts w:ascii="Corbel" w:eastAsia="Corbel" w:hAnsi="Corbel" w:cs="Corbel"/>
              </w:rPr>
              <w:t xml:space="preserve">Markowski K., Rola państwa w gospodarce rynkowej, Warszawa 1992 Pietrzyk I., Polityka regionalna Unii Europejskiej i regiony w państwach członkowskich, Warszawa 2004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Pietrewicz M., Polityka fiskalna, Warszawa 1998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ekonomiczna, red. A. </w:t>
            </w:r>
            <w:proofErr w:type="spellStart"/>
            <w:r>
              <w:rPr>
                <w:rFonts w:ascii="Corbel" w:eastAsia="Corbel" w:hAnsi="Corbel" w:cs="Corbel"/>
              </w:rPr>
              <w:t>Fajferek</w:t>
            </w:r>
            <w:proofErr w:type="spellEnd"/>
            <w:r>
              <w:rPr>
                <w:rFonts w:ascii="Corbel" w:eastAsia="Corbel" w:hAnsi="Corbel" w:cs="Corbel"/>
              </w:rPr>
              <w:t xml:space="preserve">, Kraków 1999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gospodarcza, red. H. Ćwikliński, Gdańsk 2004 </w:t>
            </w:r>
          </w:p>
          <w:p w:rsidR="00AC6E19" w:rsidRDefault="00AC6E19" w:rsidP="00AC6E19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Wilczyński W., Polski przełom ustrojowy 1989-2005. Ekonomia okresu transformacji, Poznań 2005 </w:t>
            </w:r>
          </w:p>
        </w:tc>
      </w:tr>
      <w:tr w:rsidR="00D231AD" w:rsidTr="00AC6E19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E19" w:rsidRPr="00AC6E19" w:rsidRDefault="00E4646B">
            <w:pPr>
              <w:spacing w:after="33" w:line="248" w:lineRule="auto"/>
              <w:ind w:right="2349"/>
              <w:rPr>
                <w:rFonts w:ascii="Corbel" w:eastAsia="Corbel" w:hAnsi="Corbel" w:cs="Corbel"/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Źródła internetowe: </w:t>
            </w:r>
          </w:p>
          <w:p w:rsidR="00D231AD" w:rsidRDefault="00E4646B">
            <w:pPr>
              <w:spacing w:after="33" w:line="248" w:lineRule="auto"/>
              <w:ind w:right="2349"/>
            </w:pPr>
            <w:r>
              <w:rPr>
                <w:rFonts w:ascii="Corbel" w:eastAsia="Corbel" w:hAnsi="Corbel" w:cs="Corbel"/>
              </w:rPr>
              <w:t xml:space="preserve">https://ec.europa.eu/info/index_pl https://www.gov.pl/web/finanse https://stat.gov.pl/index.php https://www.gov.pl/web/mswia </w:t>
            </w:r>
          </w:p>
          <w:p w:rsidR="00D231AD" w:rsidRDefault="00E4646B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https://www.nbp.pl/ </w:t>
            </w:r>
          </w:p>
          <w:p w:rsidR="00D231AD" w:rsidRDefault="00E4646B">
            <w:pPr>
              <w:spacing w:after="33" w:line="246" w:lineRule="auto"/>
              <w:ind w:right="2594"/>
            </w:pPr>
            <w:r>
              <w:rPr>
                <w:rFonts w:ascii="Corbel" w:eastAsia="Corbel" w:hAnsi="Corbel" w:cs="Corbel"/>
              </w:rPr>
              <w:t xml:space="preserve">https://www.gov.pl/web/rozwoj-praca-technologia/ https://podkarpackie.pl/ https://www.sejm.gov.pl/ </w:t>
            </w:r>
          </w:p>
          <w:p w:rsidR="00D231AD" w:rsidRDefault="00E4646B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https://www.senat.gov.pl/ </w:t>
            </w:r>
          </w:p>
        </w:tc>
      </w:tr>
    </w:tbl>
    <w:p w:rsidR="00D231AD" w:rsidRDefault="00E4646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8" w:line="240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D231AD" w:rsidRDefault="00FD0CCA">
      <w:pPr>
        <w:spacing w:line="248" w:lineRule="auto"/>
        <w:ind w:left="360" w:right="2195"/>
        <w:jc w:val="both"/>
      </w:pPr>
      <w:r>
        <w:rPr>
          <w:noProof/>
          <w:position w:val="-92"/>
        </w:rPr>
        <w:drawing>
          <wp:anchor distT="0" distB="0" distL="114300" distR="114300" simplePos="0" relativeHeight="251658240" behindDoc="0" locked="0" layoutInCell="1" allowOverlap="1" wp14:anchorId="7D4F036C" wp14:editId="5B433307">
            <wp:simplePos x="0" y="0"/>
            <wp:positionH relativeFrom="column">
              <wp:posOffset>4228731</wp:posOffset>
            </wp:positionH>
            <wp:positionV relativeFrom="paragraph">
              <wp:posOffset>5715</wp:posOffset>
            </wp:positionV>
            <wp:extent cx="1284605" cy="800100"/>
            <wp:effectExtent l="0" t="0" r="0" b="0"/>
            <wp:wrapNone/>
            <wp:docPr id="1458" name="Picture 1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" name="Picture 145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646B">
        <w:rPr>
          <w:rFonts w:ascii="Corbel" w:eastAsia="Corbel" w:hAnsi="Corbel" w:cs="Corbel"/>
          <w:sz w:val="24"/>
        </w:rPr>
        <w:t xml:space="preserve"> </w:t>
      </w:r>
      <w:r w:rsidR="00E4646B">
        <w:rPr>
          <w:rFonts w:ascii="Corbel" w:eastAsia="Corbel" w:hAnsi="Corbel" w:cs="Corbel"/>
          <w:b/>
          <w:sz w:val="24"/>
        </w:rPr>
        <w:t xml:space="preserve"> </w:t>
      </w:r>
      <w:r w:rsidR="00E4646B">
        <w:rPr>
          <w:rFonts w:ascii="Corbel" w:eastAsia="Corbel" w:hAnsi="Corbel" w:cs="Corbel"/>
          <w:b/>
          <w:sz w:val="24"/>
        </w:rPr>
        <w:tab/>
      </w:r>
    </w:p>
    <w:sectPr w:rsidR="00D231AD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859" w:rsidRDefault="00FD5859">
      <w:pPr>
        <w:spacing w:line="240" w:lineRule="auto"/>
      </w:pPr>
      <w:r>
        <w:separator/>
      </w:r>
    </w:p>
  </w:endnote>
  <w:endnote w:type="continuationSeparator" w:id="0">
    <w:p w:rsidR="00FD5859" w:rsidRDefault="00FD58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859" w:rsidRDefault="00FD5859">
      <w:pPr>
        <w:spacing w:line="271" w:lineRule="auto"/>
      </w:pPr>
      <w:r>
        <w:separator/>
      </w:r>
    </w:p>
  </w:footnote>
  <w:footnote w:type="continuationSeparator" w:id="0">
    <w:p w:rsidR="00FD5859" w:rsidRDefault="00FD5859">
      <w:pPr>
        <w:spacing w:line="271" w:lineRule="auto"/>
      </w:pPr>
      <w:r>
        <w:continuationSeparator/>
      </w:r>
    </w:p>
  </w:footnote>
  <w:footnote w:id="1">
    <w:p w:rsidR="00D231AD" w:rsidRDefault="00E4646B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B5105"/>
    <w:multiLevelType w:val="hybridMultilevel"/>
    <w:tmpl w:val="D6EA7CEE"/>
    <w:lvl w:ilvl="0" w:tplc="39340676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EEB4EA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42955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56BE8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5C4EC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6E3C1E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90031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F2FBA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EA0D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1AD"/>
    <w:rsid w:val="00153589"/>
    <w:rsid w:val="001A5170"/>
    <w:rsid w:val="001A763F"/>
    <w:rsid w:val="002A59A5"/>
    <w:rsid w:val="004243C6"/>
    <w:rsid w:val="00694B96"/>
    <w:rsid w:val="008735A3"/>
    <w:rsid w:val="00917075"/>
    <w:rsid w:val="009F04DD"/>
    <w:rsid w:val="00AC6E19"/>
    <w:rsid w:val="00D231AD"/>
    <w:rsid w:val="00E01245"/>
    <w:rsid w:val="00E4646B"/>
    <w:rsid w:val="00FD0CCA"/>
    <w:rsid w:val="00FD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3CEE"/>
  <w15:docId w15:val="{AFB1CECD-B1F2-4904-BCC9-311B5A3F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1254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11</cp:revision>
  <dcterms:created xsi:type="dcterms:W3CDTF">2020-10-28T19:28:00Z</dcterms:created>
  <dcterms:modified xsi:type="dcterms:W3CDTF">2022-05-25T10:47:00Z</dcterms:modified>
</cp:coreProperties>
</file>